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2025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постановления объявлена 04.04.2025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постановление составлено 07.04.2025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 прокурора – помощника Ханты-Мансийского межрайонного прокурора </w:t>
      </w:r>
      <w:r>
        <w:rPr>
          <w:rStyle w:val="cat-FIOgrp-28rplc-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</w:t>
      </w:r>
      <w:r>
        <w:rPr>
          <w:rStyle w:val="cat-FIOgrp-29rplc-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ч.1 ст.20.35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заведующего МБДОУ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общеразвивающего вида с приоритетным осуществлением деятельности по социально-личностному направлению развития детей №18 «Улыбка» </w:t>
      </w:r>
      <w:r>
        <w:rPr>
          <w:rStyle w:val="cat-UserDefinedgrp-4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7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Малышева </w:t>
      </w:r>
      <w:r>
        <w:rPr>
          <w:rStyle w:val="cat-UserDefinedgrp-4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лицом- заместителем заведующего по безопасности МБДОУ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общеразвивающего вида с приоритетным осуществлением деятельности по социально-личностному направлению развития детей №18 «Улыбка» (далее-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 «Улыбка»,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Учреждение),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обеспечению ант</w:t>
      </w:r>
      <w:r>
        <w:rPr>
          <w:rFonts w:ascii="Times New Roman" w:eastAsia="Times New Roman" w:hAnsi="Times New Roman" w:cs="Times New Roman"/>
          <w:sz w:val="28"/>
          <w:szCs w:val="28"/>
        </w:rPr>
        <w:t>итеррористической защищенности объекта (территории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 года, находясь по месту исполнения своих дол</w:t>
      </w:r>
      <w:r>
        <w:rPr>
          <w:rFonts w:ascii="Times New Roman" w:eastAsia="Times New Roman" w:hAnsi="Times New Roman" w:cs="Times New Roman"/>
          <w:sz w:val="28"/>
          <w:szCs w:val="28"/>
        </w:rPr>
        <w:t>жностных обязанностей по адресу регистрации юридического лица: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вследствие ненадлежащего исполнения своих должностных обязанностей, предусмотренных разделом 3 Должностной инструкции заместителя заведующего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 «Улыбка»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.«а» п.25, п.п.30, 31 постановления Правительства Российской Федерации от 02.08.2019 №1006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не принял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 к оснащению объекта 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Улыбка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которому присвоена 3 категория опасности, системами видеонаблюдения, обеспечивающими непрерывное видеонаблюдение уязвимых мест и критических элементов объекта (территории), системой оповещения и управления эвакуацией людей, обеспечивающей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паники, чем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ст.20.35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4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</w:t>
      </w:r>
      <w:r>
        <w:rPr>
          <w:rFonts w:ascii="Times New Roman" w:eastAsia="Times New Roman" w:hAnsi="Times New Roman" w:cs="Times New Roman"/>
          <w:sz w:val="28"/>
          <w:szCs w:val="28"/>
        </w:rPr>
        <w:t>ощью защитника не воспользовалась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оснащен системой видеонаблюдения. Разделом 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паспорта безопасности объекта, утвержденного 22.08.2023, расположенного по адресу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 перечень уязвимых мест и критических элементов Учреждения, которые находятся под непрерывным видеонаблюдением. Системы видеонаблюдения, установленные на объекте, с учетом количества камер и мест их размещения обеспечивают непрерывное видеонаблюдение уязвимых мест и критических элементов, что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п.30 Требований.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как должностным лицом Учреждения приняты все зависящие от неё меры к недопущению нарушений антитеррористической защищенности объекта. 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информировала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Администрации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внепланового обследования межведомственной комиссией объектов образовательной организации по выполнению требований к антитеррористиче</w:t>
      </w:r>
      <w:r>
        <w:rPr>
          <w:rFonts w:ascii="Times New Roman" w:eastAsia="Times New Roman" w:hAnsi="Times New Roman" w:cs="Times New Roman"/>
          <w:sz w:val="28"/>
          <w:szCs w:val="28"/>
        </w:rPr>
        <w:t>ской защищенности от 09.01.2024, поставила в известно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МБУ «Управление по эксплуатации служебных зданий» о результатах проверки антитеррористический защищенности объекта и выявленных недостатках 30.01.2025 и необходимости проведения технических работ по регулировке камер наружного наблюдения, которые в настоящее время проведены. В соответствии с п.31 Требований система оповещения и управления эвакуацией людей на объекте входит в состав системы охранно-пожарной сигнализации, речевые </w:t>
      </w:r>
      <w:r>
        <w:rPr>
          <w:rFonts w:ascii="Times New Roman" w:eastAsia="Times New Roman" w:hAnsi="Times New Roman" w:cs="Times New Roman"/>
          <w:sz w:val="28"/>
          <w:szCs w:val="28"/>
        </w:rPr>
        <w:t>оповещатели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расположены так, чтобы в любой точке объекта (территории), где требуется оповещение людей, обеспечивается разборчивость передаваемой речевой информации. пунктом 31 Требований не предусмотрено дополнительной установки и содержание нескольких систем оповещения и управления эвакуацией людей. Учреждение вправе эксплуатировать единую систему оповещения и управления эвакуацией людей на базе охранно-пожарной сигнализации, которая соответствует требованиям законодательства об антитеррористической защищенности объектов. В настоящее время администрацией Учреждения принимаются меры по модернизации дополнительных элементов автономной системы оповещения и управления эвакуацией при угрозе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или возникновении чрезвычайной ситуации. В обслуживающую организацию МБУ «Управление по эксплуатации служебных зданий» администрацией Учреждения направлено письмо о проведении плановых работ по модернизации системы оповещения людей на объектах. Правонарушение ей совершено впервые, правонарушение не повлекло имущественного ущерба, не причинило вреда жизни и здоровью людей, не </w:t>
      </w:r>
      <w:r>
        <w:rPr>
          <w:rFonts w:ascii="Times New Roman" w:eastAsia="Times New Roman" w:hAnsi="Times New Roman" w:cs="Times New Roman"/>
          <w:sz w:val="28"/>
          <w:szCs w:val="28"/>
        </w:rPr>
        <w:t>повлекло соответствующих угроз в связи с чем, просит применить положения ст.4.1.1 КоАП РФ и заменить штраф предупреждением.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</w:t>
      </w:r>
      <w:r>
        <w:rPr>
          <w:rStyle w:val="cat-FIOgrp-2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привлечь </w:t>
      </w:r>
      <w:r>
        <w:rPr>
          <w:rStyle w:val="cat-FIOgrp-2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указав, что должностным лицом не приняты всевозможные меры к устранению и допущению нарушений законодательства об антитеррористической защищенности.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участников производства по делу об административном правонарушении, 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первой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</w:t>
      </w:r>
      <w:hyperlink w:anchor="sub_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ч.6 ст.28 Федерального закона от 29.12.2012 №273-Ф3 «Об образовании в Российской Федерации» (далее-Федеральный закон №273-ФЗ)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ч.7 ст.28 Федерального закона №273-ФЗ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п.п.4,6 ст.3 Федерального закона от 06.03.2006 №35-ФЗ «О противодействии терроризму» (далее-Федеральный закона №35-ФЗ) противодействие терроризму это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актов (профилактика терроризма).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антитеррористической защищенностью объекта (территории) понимается состояние защищенности здания, строения, сооружения, иного </w:t>
      </w:r>
      <w:r>
        <w:rPr>
          <w:rFonts w:ascii="Times New Roman" w:eastAsia="Times New Roman" w:hAnsi="Times New Roman" w:cs="Times New Roman"/>
          <w:sz w:val="28"/>
          <w:szCs w:val="28"/>
        </w:rPr>
        <w:t>объекта, места массового пребывания людей, препятствующее совершению террористического акта.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подп.4 п.2 ст.5 Федерального закона №35-ФЗ Правительство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обязательные для выполнения </w:t>
      </w:r>
      <w:hyperlink r:id="rId4" w:anchor="/multilink/12145408/paragraph/29366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(территорий), категории объектов (территорий), </w:t>
      </w:r>
      <w:hyperlink r:id="rId4" w:anchor="/document/70552494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разработки указанных требований и контроля за их выполнением, порядок разработки и </w:t>
      </w:r>
      <w:hyperlink r:id="rId4" w:anchor="/multilink/12145408/paragraph/29366/number/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72585152/entry/10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РФ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(далее-Требования к антитеррористической защищенности объектов (территорий),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п.25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объектов (территорий) третьей категории опасности дополнительно к мероприятиям, предусмотренным </w:t>
      </w:r>
      <w:hyperlink r:id="rId4" w:anchor="/document/72585152/entry/10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осуществляются следующие мероприятия: оснащение объектов (территорий) системами видеонаблюдения, охранной сигнализации.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д» п.24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антитеррористической защищенности объектов (территорий) осуществляется 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с 17.01.2025 по 20</w:t>
      </w:r>
      <w:r>
        <w:rPr>
          <w:rFonts w:ascii="Times New Roman" w:eastAsia="Times New Roman" w:hAnsi="Times New Roman" w:cs="Times New Roman"/>
          <w:sz w:val="28"/>
          <w:szCs w:val="28"/>
        </w:rPr>
        <w:t>.01.2025 Ханты-Мансийской межрайонной прокуратурой совместно с Ханты-Мансийским отделом вневедомственной охраны –филиал ФГКУ «УВО ВНГ России по Ханты-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Мансийскому автономному округу-Югре проведена проверка соблюдения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3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Улыбка</w:t>
      </w:r>
      <w:r>
        <w:rPr>
          <w:rFonts w:ascii="Times New Roman" w:eastAsia="Times New Roman" w:hAnsi="Times New Roman" w:cs="Times New Roman"/>
          <w:sz w:val="28"/>
          <w:szCs w:val="28"/>
        </w:rPr>
        <w:t>» требований законодательства об антитеррористической защищенности объекта (территории).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выявлены нарушения, выразившиеся в </w:t>
      </w:r>
      <w:r>
        <w:rPr>
          <w:rFonts w:ascii="Times New Roman" w:eastAsia="Times New Roman" w:hAnsi="Times New Roman" w:cs="Times New Roman"/>
          <w:sz w:val="28"/>
          <w:szCs w:val="28"/>
        </w:rPr>
        <w:t>неоснащении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здания 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3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Улыбка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которому присвоена 3 категория опасности, системами видеонаблюдения, обеспечивающими непрерывное видеонаблюдение уязвимых мест и критических элементов объекта (территории), системой оповещения и управления эвакуацией людей, обеспечивающей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оводителя МБДОУ </w:t>
      </w:r>
      <w:r>
        <w:rPr>
          <w:rStyle w:val="cat-Addressgrp-3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Улыбка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№237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переведена на должность заместителя заведующего по безопасности с 01.11.2018.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руководителя Учреждения №183-О от 30.07.2024 </w:t>
      </w:r>
      <w:r>
        <w:rPr>
          <w:rStyle w:val="cat-FIOgrp-29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назначена ответственным лицом за проведение мероприятий по обеспечению антитеррористической защищенности на объектах, в том числе, его критических элементов, организацию взаимодействия с территориальными органами безопасности, территориальными органами МВД РФ, ФСВНГ РФ по вопросам терроризма и экстремизма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функциональные обязанности </w:t>
      </w:r>
      <w:r>
        <w:rPr>
          <w:rStyle w:val="cat-FIOgrp-29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входит, в том числе, обеспечение выполнения требований к антитеррористической защищенности объектов, осуществление иных полномочий по решению вопросов в профилактике терроризма, а также в минимизации и (или) ликвидации последствий его проявлений.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раздела 3 Должностной инструкции заместителя заведующего по безопасности основным функциями заместителя заведующего по безопасности являются организация и осуществление работы по созданию безопасных условий образовательной деятельности, обеспечивающих сохранение жизни и здоровья обучающихся и работников организации; контроль за соблюдением требований законодательства об антитеррористической защищенности объектов; организация и обеспечение защиты обучающихся и работников организации от чрезвычайных (кризисных) ситуаций, технической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укрепленности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антитеррористической защищенности объектов организации.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4 Должностной инструкции заместит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заведующего заместитель по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выполнение мероприятий по комплексной безопасности и антитеррористической защищенности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и работников организации; осуществляет текущий контроль работоспособности технических средств обеспечения охраны и оповещения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осуществляет общее руководство оборудованием объектов и территории организации в соответствии с государственными и местными нормами и требованиями, в том числе, по вопросам гражданской обороны, защиты от чрезвычайных ситуаций, пожарной безопасности и обеспечения антитеррористической и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противокриминальной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защищенности объектов.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установленных обстоятельств следует, что </w:t>
      </w:r>
      <w:r>
        <w:rPr>
          <w:rStyle w:val="cat-FIOgrp-29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занимаемой должности и своих должностных обязанностей,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вменяемого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cat-FIOgrp-29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обеспечения безопасности и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совокупностью, исследованных в судебном заседании,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вынесенным с участием </w:t>
      </w:r>
      <w:r>
        <w:rPr>
          <w:rStyle w:val="cat-FIOgrp-29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объяснению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24.03.2025 нарушения по «слепым зонам» устранены, по оснащению объекта (территории) системой оповещения людей при возникновении чрезвычайны ситуаций запланированы мероприятия со сроком исполнения 2026 г.;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решения заместителя Ханты-Мансийского межрайонного прокурора о проведении проверки №4 от 13.01.2025;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-информационным письмом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отдела вневедомственной охраны –филиала ФГКУ «УВО ВНГ России по Ханты-Мансийскому автономному округу-Югре о результатах проведенной совместной с Ханты-Мансийской межрайонной прокуратурой проверки;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Устава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3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Улыбка», в соответствии с п.2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раздела 2 которого предметом деятельности организации является осуществление на основании лицензии образовательной деятельности, присмотр и уход за детьми, укрепление здоровья и создание благоприятных условий для разностороннего развития личности.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изложенные доказательства являются относимыми, допустимыми, достоверными, а в совокупности достаточными для установления виновности </w:t>
      </w:r>
      <w:r>
        <w:rPr>
          <w:rStyle w:val="cat-FIOgrp-29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5" w:anchor="/document/12125267/entry/203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Вопреки </w:t>
      </w:r>
      <w:r>
        <w:rPr>
          <w:rFonts w:ascii="Times New Roman" w:eastAsia="Times New Roman" w:hAnsi="Times New Roman" w:cs="Times New Roman"/>
          <w:sz w:val="28"/>
          <w:szCs w:val="28"/>
        </w:rPr>
        <w:t>доводам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</w:t>
      </w:r>
      <w:r>
        <w:rPr>
          <w:rFonts w:ascii="Times New Roman" w:eastAsia="Times New Roman" w:hAnsi="Times New Roman" w:cs="Times New Roman"/>
          <w:sz w:val="28"/>
          <w:szCs w:val="28"/>
        </w:rPr>
        <w:t>приняла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оснащению объекта 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3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 «Улыбка»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системами видеонаблюдения, обеспечивающими непрерывное видеонаблюдение уязвимых мест и критических элементов объекта (территории), системой оповещения и управления эвакуацией людей, обеспечивающей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паники, чем нарушила требования закона.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она информировала Департамент образования администрации </w:t>
      </w:r>
      <w:r>
        <w:rPr>
          <w:rStyle w:val="cat-Addressgrp-7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Управляющую организацию о выявленных нарушениях не исключает ответственность </w:t>
      </w:r>
      <w:r>
        <w:rPr>
          <w:rStyle w:val="cat-FIOgrp-29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направление двух писем, информирующих об имеющихся недостатках в антитеррористической защищенности объекта (территории)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мнению суда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недостаточным для действенного устранения имеющихся нарушений антитеррористического законодательства, обеспечения защищенности воспитанников детского сада и работников Учреждения от угроз чрезвычайного характера и террористических актов.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32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Л,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видеонаблюдения, установленная на объекте, с учетом количества камер и мест их размещения обеспечивают непрерывное видеонаблюдение уязвимых мест и критических элементов, что соответствует п.30 Требований, суд признает несостоятельными, так как, согласно информации начальника Ханты-Мансийского отдела вневедомственной охраны – филиала ФГКУ «УВО ВНГ России по ХМАО-Югре» </w:t>
      </w:r>
      <w:r>
        <w:rPr>
          <w:rStyle w:val="cat-FIOgrp-33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Учреждении имеются «слепые зоны», что не позволяет вести непрерывное видеонаблюдение за уязвимыми местами. К тому же, согласно письменным возражениям </w:t>
      </w:r>
      <w:r>
        <w:rPr>
          <w:rStyle w:val="cat-FIOgrp-29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и необходимости проведения технических работ по регулировке камер наружного наблюдения была проинформирована управляющая организация и данные раб</w:t>
      </w:r>
      <w:r>
        <w:rPr>
          <w:rFonts w:ascii="Times New Roman" w:eastAsia="Times New Roman" w:hAnsi="Times New Roman" w:cs="Times New Roman"/>
          <w:sz w:val="28"/>
          <w:szCs w:val="28"/>
        </w:rPr>
        <w:t>оты в настоящее время проведены, следовательно, нарушения имели место быть и их устранение стало возможным только после проведенной проверки.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29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оповещения и управления эвакуацией людей на объекте входит в состав системы охранно-пожарной сигнализации,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что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реждение вправе эксплуатировать единую систему оповещения и управления эвакуацией людей на базе охранно-пожарной сигнализации,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являются ошибочными,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требования к системе оповещения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и управления эвакуацией людей на объекте (территории)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</w:rPr>
        <w:t>усмотрены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специальным нормативным правовым актом, регулирующим отношения в сфере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просвещения, при этом согласно п.31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оповещения и управления эвакуацией людей должны быть автономными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ст.20.35 КоАП РФ –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характер совершенного им правонарушения,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9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правонарушение, посягающее на общественную безопасность. Согласно перечню выявленных нарушений следует, что основы обеспечения безопасности зданий и территорий образовательного учреждения, деятельность которого допускает массовое скопления людей, находятся под существенной угрозой предотвращения актов незаконного вмешательства, поскольку не обеспечена безопасность объектов (территорий) на </w:t>
      </w:r>
      <w:r>
        <w:rPr>
          <w:rFonts w:ascii="Times New Roman" w:eastAsia="Times New Roman" w:hAnsi="Times New Roman" w:cs="Times New Roman"/>
          <w:sz w:val="28"/>
          <w:szCs w:val="28"/>
        </w:rPr>
        <w:t>предмет их устойчивого и безопасного функционирования, и, как следствие, объект не защищён от актов незаконного вмешательства.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9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ответственности, 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мягчающих и 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мировой судья считает возможным назначить </w:t>
      </w:r>
      <w:r>
        <w:rPr>
          <w:rStyle w:val="cat-FIOgrp-29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минимальном размере, предусмотренном санкцией ч.1 ст.20.35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замены наказания в виде административного штрафа предупреждением допускается при наличии совокупности всех обсто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ятельств, указанных в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в рассматриваемом случае такой совокупности обстоятельств не имеется. Совершенное правонарушение, выразившееся в невыполнении требований антитеррористической защищенности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>, создает угрозу причинения вреда жизни и здоровью людей.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чем, оснований для замены штрафа предупре</w:t>
      </w:r>
      <w:r>
        <w:rPr>
          <w:rFonts w:ascii="Times New Roman" w:eastAsia="Times New Roman" w:hAnsi="Times New Roman" w:cs="Times New Roman"/>
          <w:sz w:val="28"/>
          <w:szCs w:val="28"/>
        </w:rPr>
        <w:t>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49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ст.20.35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в виде штрафа в размере </w:t>
      </w:r>
      <w:r>
        <w:rPr>
          <w:rStyle w:val="cat-Sumgrp-36rplc-7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8"/>
          <w:szCs w:val="28"/>
        </w:rPr>
        <w:t>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к: РКЦ </w:t>
      </w:r>
      <w:r>
        <w:rPr>
          <w:rStyle w:val="cat-Addressgrp-0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38rplc-7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39rplc-7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40rplc-7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41rplc-7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42rplc-8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43rplc-8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0412365400805003532520116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35rplc-8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35rplc-8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tabs>
          <w:tab w:val="left" w:pos="1328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9"/>
        <w:rPr>
          <w:sz w:val="28"/>
          <w:szCs w:val="28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347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27rplc-6">
    <w:name w:val="cat-FIO grp-27 rplc-6"/>
    <w:basedOn w:val="DefaultParagraphFont"/>
  </w:style>
  <w:style w:type="character" w:customStyle="1" w:styleId="cat-FIOgrp-28rplc-7">
    <w:name w:val="cat-FIO grp-28 rplc-7"/>
    <w:basedOn w:val="DefaultParagraphFont"/>
  </w:style>
  <w:style w:type="character" w:customStyle="1" w:styleId="cat-FIOgrp-29rplc-8">
    <w:name w:val="cat-FIO grp-2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45rplc-12">
    <w:name w:val="cat-UserDefined grp-4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PassportDatagrp-37rplc-14">
    <w:name w:val="cat-PassportData grp-37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UserDefinedgrp-47rplc-19">
    <w:name w:val="cat-UserDefined grp-47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UserDefinedgrp-48rplc-27">
    <w:name w:val="cat-UserDefined grp-48 rplc-27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FIOgrp-28rplc-35">
    <w:name w:val="cat-FIO grp-28 rplc-35"/>
    <w:basedOn w:val="DefaultParagraphFont"/>
  </w:style>
  <w:style w:type="character" w:customStyle="1" w:styleId="cat-FIOgrp-29rplc-36">
    <w:name w:val="cat-FIO grp-29 rplc-36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FIOgrp-29rplc-46">
    <w:name w:val="cat-FIO grp-29 rplc-46"/>
    <w:basedOn w:val="DefaultParagraphFont"/>
  </w:style>
  <w:style w:type="character" w:customStyle="1" w:styleId="cat-FIOgrp-29rplc-49">
    <w:name w:val="cat-FIO grp-29 rplc-49"/>
    <w:basedOn w:val="DefaultParagraphFont"/>
  </w:style>
  <w:style w:type="character" w:customStyle="1" w:styleId="cat-FIOgrp-29rplc-50">
    <w:name w:val="cat-FIO grp-29 rplc-50"/>
    <w:basedOn w:val="DefaultParagraphFont"/>
  </w:style>
  <w:style w:type="character" w:customStyle="1" w:styleId="cat-FIOgrp-29rplc-51">
    <w:name w:val="cat-FIO grp-29 rplc-51"/>
    <w:basedOn w:val="DefaultParagraphFont"/>
  </w:style>
  <w:style w:type="character" w:customStyle="1" w:styleId="cat-FIOgrp-29rplc-52">
    <w:name w:val="cat-FIO grp-29 rplc-52"/>
    <w:basedOn w:val="DefaultParagraphFont"/>
  </w:style>
  <w:style w:type="character" w:customStyle="1" w:styleId="cat-FIOgrp-29rplc-54">
    <w:name w:val="cat-FIO grp-29 rplc-54"/>
    <w:basedOn w:val="DefaultParagraphFont"/>
  </w:style>
  <w:style w:type="character" w:customStyle="1" w:styleId="cat-Addressgrp-3rplc-58">
    <w:name w:val="cat-Address grp-3 rplc-58"/>
    <w:basedOn w:val="DefaultParagraphFont"/>
  </w:style>
  <w:style w:type="character" w:customStyle="1" w:styleId="cat-FIOgrp-29rplc-59">
    <w:name w:val="cat-FIO grp-29 rplc-59"/>
    <w:basedOn w:val="DefaultParagraphFont"/>
  </w:style>
  <w:style w:type="character" w:customStyle="1" w:styleId="cat-FIOgrp-29rplc-60">
    <w:name w:val="cat-FIO grp-29 rplc-60"/>
    <w:basedOn w:val="DefaultParagraphFont"/>
  </w:style>
  <w:style w:type="character" w:customStyle="1" w:styleId="cat-Addressgrp-3rplc-61">
    <w:name w:val="cat-Address grp-3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FIOgrp-29rplc-63">
    <w:name w:val="cat-FIO grp-29 rplc-63"/>
    <w:basedOn w:val="DefaultParagraphFont"/>
  </w:style>
  <w:style w:type="character" w:customStyle="1" w:styleId="cat-FIOgrp-32rplc-64">
    <w:name w:val="cat-FIO grp-32 rplc-64"/>
    <w:basedOn w:val="DefaultParagraphFont"/>
  </w:style>
  <w:style w:type="character" w:customStyle="1" w:styleId="cat-FIOgrp-33rplc-65">
    <w:name w:val="cat-FIO grp-33 rplc-65"/>
    <w:basedOn w:val="DefaultParagraphFont"/>
  </w:style>
  <w:style w:type="character" w:customStyle="1" w:styleId="cat-FIOgrp-29rplc-66">
    <w:name w:val="cat-FIO grp-29 rplc-66"/>
    <w:basedOn w:val="DefaultParagraphFont"/>
  </w:style>
  <w:style w:type="character" w:customStyle="1" w:styleId="cat-FIOgrp-29rplc-67">
    <w:name w:val="cat-FIO grp-29 rplc-67"/>
    <w:basedOn w:val="DefaultParagraphFont"/>
  </w:style>
  <w:style w:type="character" w:customStyle="1" w:styleId="cat-FIOgrp-29rplc-68">
    <w:name w:val="cat-FIO grp-29 rplc-68"/>
    <w:basedOn w:val="DefaultParagraphFont"/>
  </w:style>
  <w:style w:type="character" w:customStyle="1" w:styleId="cat-FIOgrp-29rplc-69">
    <w:name w:val="cat-FIO grp-29 rplc-69"/>
    <w:basedOn w:val="DefaultParagraphFont"/>
  </w:style>
  <w:style w:type="character" w:customStyle="1" w:styleId="cat-FIOgrp-29rplc-70">
    <w:name w:val="cat-FIO grp-29 rplc-70"/>
    <w:basedOn w:val="DefaultParagraphFont"/>
  </w:style>
  <w:style w:type="character" w:customStyle="1" w:styleId="cat-FIOgrp-29rplc-71">
    <w:name w:val="cat-FIO grp-29 rplc-71"/>
    <w:basedOn w:val="DefaultParagraphFont"/>
  </w:style>
  <w:style w:type="character" w:customStyle="1" w:styleId="cat-UserDefinedgrp-49rplc-72">
    <w:name w:val="cat-UserDefined grp-49 rplc-72"/>
    <w:basedOn w:val="DefaultParagraphFont"/>
  </w:style>
  <w:style w:type="character" w:customStyle="1" w:styleId="cat-Sumgrp-36rplc-74">
    <w:name w:val="cat-Sum grp-36 rplc-74"/>
    <w:basedOn w:val="DefaultParagraphFont"/>
  </w:style>
  <w:style w:type="character" w:customStyle="1" w:styleId="cat-Addressgrp-0rplc-75">
    <w:name w:val="cat-Address grp-0 rplc-75"/>
    <w:basedOn w:val="DefaultParagraphFont"/>
  </w:style>
  <w:style w:type="character" w:customStyle="1" w:styleId="cat-PhoneNumbergrp-38rplc-76">
    <w:name w:val="cat-PhoneNumber grp-38 rplc-76"/>
    <w:basedOn w:val="DefaultParagraphFont"/>
  </w:style>
  <w:style w:type="character" w:customStyle="1" w:styleId="cat-PhoneNumbergrp-39rplc-77">
    <w:name w:val="cat-PhoneNumber grp-39 rplc-77"/>
    <w:basedOn w:val="DefaultParagraphFont"/>
  </w:style>
  <w:style w:type="character" w:customStyle="1" w:styleId="cat-PhoneNumbergrp-40rplc-78">
    <w:name w:val="cat-PhoneNumber grp-40 rplc-78"/>
    <w:basedOn w:val="DefaultParagraphFont"/>
  </w:style>
  <w:style w:type="character" w:customStyle="1" w:styleId="cat-PhoneNumbergrp-41rplc-79">
    <w:name w:val="cat-PhoneNumber grp-41 rplc-79"/>
    <w:basedOn w:val="DefaultParagraphFont"/>
  </w:style>
  <w:style w:type="character" w:customStyle="1" w:styleId="cat-PhoneNumbergrp-42rplc-80">
    <w:name w:val="cat-PhoneNumber grp-42 rplc-80"/>
    <w:basedOn w:val="DefaultParagraphFont"/>
  </w:style>
  <w:style w:type="character" w:customStyle="1" w:styleId="cat-PhoneNumbergrp-43rplc-81">
    <w:name w:val="cat-PhoneNumber grp-43 rplc-81"/>
    <w:basedOn w:val="DefaultParagraphFont"/>
  </w:style>
  <w:style w:type="character" w:customStyle="1" w:styleId="cat-FIOgrp-35rplc-82">
    <w:name w:val="cat-FIO grp-35 rplc-82"/>
    <w:basedOn w:val="DefaultParagraphFont"/>
  </w:style>
  <w:style w:type="character" w:customStyle="1" w:styleId="cat-FIOgrp-35rplc-83">
    <w:name w:val="cat-FIO grp-35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1B98-8309-4936-986F-1F4D0840476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